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A0C9" w14:textId="05004271" w:rsidR="005D3C3E" w:rsidRDefault="009D5CEC">
      <w:pPr>
        <w:pStyle w:val="BodyText"/>
        <w:spacing w:before="3"/>
        <w:rPr>
          <w:rFonts w:ascii="Times New Roman"/>
          <w:sz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7601A930" wp14:editId="37E03976">
            <wp:extent cx="6993890" cy="1043940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967" cy="104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DA0CA" w14:textId="77777777" w:rsidR="005D3C3E" w:rsidRDefault="008E3D47">
      <w:pPr>
        <w:spacing w:before="64"/>
        <w:ind w:left="625"/>
        <w:rPr>
          <w:i/>
          <w:sz w:val="18"/>
        </w:rPr>
      </w:pPr>
      <w:r>
        <w:rPr>
          <w:i/>
          <w:sz w:val="18"/>
        </w:rPr>
        <w:t>Regulating State‐Chartered Banks, Credit Unions, Residential Mortgage Loan Companies and Originators, and Consumer Finance industries</w:t>
      </w:r>
    </w:p>
    <w:p w14:paraId="178DA0CB" w14:textId="3AE251F8" w:rsidR="005D3C3E" w:rsidRDefault="00BD643B">
      <w:pPr>
        <w:pStyle w:val="BodyText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8DA0D4" wp14:editId="1C13B3B8">
                <wp:simplePos x="0" y="0"/>
                <wp:positionH relativeFrom="page">
                  <wp:posOffset>304800</wp:posOffset>
                </wp:positionH>
                <wp:positionV relativeFrom="paragraph">
                  <wp:posOffset>164465</wp:posOffset>
                </wp:positionV>
                <wp:extent cx="6985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11001"/>
                            <a:gd name="T2" fmla="+- 0 11481 480"/>
                            <a:gd name="T3" fmla="*/ T2 w 1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1">
                              <a:moveTo>
                                <a:pt x="0" y="0"/>
                              </a:moveTo>
                              <a:lnTo>
                                <a:pt x="11001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BE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E22F" id="Freeform 2" o:spid="_x0000_s1026" style="position:absolute;margin-left:24pt;margin-top:12.95pt;width:55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" path="m,l11001,e" filled="f" strokecolor="#ffbe00" strokeweight="2.5pt">
                <v:path arrowok="t" o:connecttype="custom" o:connectlocs="0,0;6985635,0" o:connectangles="0,0"/>
                <w10:wrap type="topAndBottom" anchorx="page"/>
              </v:shape>
            </w:pict>
          </mc:Fallback>
        </mc:AlternateContent>
      </w:r>
    </w:p>
    <w:p w14:paraId="307AB306" w14:textId="77777777" w:rsidR="00DF691C" w:rsidRDefault="00DF691C">
      <w:pPr>
        <w:spacing w:before="58"/>
        <w:ind w:left="164"/>
        <w:rPr>
          <w:b/>
          <w:sz w:val="24"/>
          <w:szCs w:val="24"/>
        </w:rPr>
      </w:pPr>
      <w:bookmarkStart w:id="0" w:name="Legislative_Updates:_2020_Regular_Sessio"/>
      <w:bookmarkEnd w:id="0"/>
    </w:p>
    <w:p w14:paraId="178DA0CC" w14:textId="2B9FE757" w:rsidR="005D3C3E" w:rsidRPr="00DF691C" w:rsidRDefault="008E3D47">
      <w:pPr>
        <w:spacing w:before="58"/>
        <w:ind w:left="164"/>
        <w:rPr>
          <w:b/>
          <w:sz w:val="24"/>
          <w:szCs w:val="24"/>
        </w:rPr>
      </w:pPr>
      <w:r w:rsidRPr="00DF691C">
        <w:rPr>
          <w:b/>
          <w:sz w:val="24"/>
          <w:szCs w:val="24"/>
        </w:rPr>
        <w:t>Legislative Updates: 202</w:t>
      </w:r>
      <w:r w:rsidR="00F234FE" w:rsidRPr="00DF691C">
        <w:rPr>
          <w:b/>
          <w:sz w:val="24"/>
          <w:szCs w:val="24"/>
        </w:rPr>
        <w:t>2</w:t>
      </w:r>
      <w:r w:rsidRPr="00DF691C">
        <w:rPr>
          <w:b/>
          <w:sz w:val="24"/>
          <w:szCs w:val="24"/>
        </w:rPr>
        <w:t xml:space="preserve"> Regular Session</w:t>
      </w:r>
    </w:p>
    <w:p w14:paraId="178DA0CE" w14:textId="77777777" w:rsidR="005D3C3E" w:rsidRPr="00DF691C" w:rsidRDefault="008E3D47">
      <w:pPr>
        <w:pStyle w:val="BodyText"/>
        <w:ind w:left="155" w:right="288" w:hanging="10"/>
      </w:pPr>
      <w:r w:rsidRPr="00DF691C">
        <w:t>In accordance with state law, DBCF is required to publish an update to inform the public and all licensees of the changes that have occurred in the most recent session.</w:t>
      </w:r>
    </w:p>
    <w:p w14:paraId="6DDED915" w14:textId="77777777" w:rsidR="00991BA6" w:rsidRPr="00DF691C" w:rsidRDefault="00991BA6">
      <w:pPr>
        <w:pStyle w:val="BodyText"/>
        <w:spacing w:before="1" w:line="259" w:lineRule="auto"/>
        <w:ind w:left="169" w:right="155" w:hanging="10"/>
        <w:rPr>
          <w:b/>
          <w:color w:val="4471C4"/>
        </w:rPr>
      </w:pPr>
    </w:p>
    <w:p w14:paraId="07C7B796" w14:textId="0D9D7D5C" w:rsidR="002239F6" w:rsidRPr="00DF691C" w:rsidRDefault="00FF2FDA">
      <w:pPr>
        <w:pStyle w:val="BodyText"/>
        <w:spacing w:before="1" w:line="259" w:lineRule="auto"/>
        <w:ind w:left="169" w:right="155" w:hanging="10"/>
        <w:rPr>
          <w:b/>
          <w:color w:val="4471C4"/>
        </w:rPr>
      </w:pPr>
      <w:r w:rsidRPr="00DF691C">
        <w:rPr>
          <w:b/>
          <w:color w:val="4471C4"/>
        </w:rPr>
        <w:t xml:space="preserve">HB </w:t>
      </w:r>
      <w:r w:rsidR="002239F6" w:rsidRPr="00DF691C">
        <w:rPr>
          <w:b/>
          <w:color w:val="4471C4"/>
        </w:rPr>
        <w:t>687 (</w:t>
      </w:r>
      <w:r w:rsidR="008F4ED5" w:rsidRPr="00DF691C">
        <w:rPr>
          <w:b/>
          <w:color w:val="4471C4"/>
        </w:rPr>
        <w:t>Mississippi Debt Management Services Act)</w:t>
      </w:r>
    </w:p>
    <w:p w14:paraId="681C40C2" w14:textId="29AA0D20" w:rsidR="008F4ED5" w:rsidRPr="00DF691C" w:rsidRDefault="00523E70" w:rsidP="008F4ED5">
      <w:pPr>
        <w:pStyle w:val="BodyText"/>
        <w:numPr>
          <w:ilvl w:val="0"/>
          <w:numId w:val="4"/>
        </w:numPr>
        <w:spacing w:before="1" w:line="259" w:lineRule="auto"/>
        <w:ind w:right="155"/>
        <w:rPr>
          <w:b/>
        </w:rPr>
      </w:pPr>
      <w:r w:rsidRPr="00DF691C">
        <w:rPr>
          <w:bCs/>
        </w:rPr>
        <w:t>Ree</w:t>
      </w:r>
      <w:r w:rsidR="00917340" w:rsidRPr="00DF691C">
        <w:rPr>
          <w:bCs/>
        </w:rPr>
        <w:t>nacts Section</w:t>
      </w:r>
      <w:r w:rsidR="00991BA6" w:rsidRPr="00DF691C">
        <w:rPr>
          <w:bCs/>
        </w:rPr>
        <w:t>s</w:t>
      </w:r>
      <w:r w:rsidR="00917340" w:rsidRPr="00DF691C">
        <w:rPr>
          <w:bCs/>
        </w:rPr>
        <w:t xml:space="preserve"> 81-22-1 through 81-22-28.</w:t>
      </w:r>
    </w:p>
    <w:p w14:paraId="3CAEE86C" w14:textId="437DC98F" w:rsidR="00917340" w:rsidRPr="00DF691C" w:rsidRDefault="002D4A9C" w:rsidP="008F4ED5">
      <w:pPr>
        <w:pStyle w:val="BodyText"/>
        <w:numPr>
          <w:ilvl w:val="0"/>
          <w:numId w:val="4"/>
        </w:numPr>
        <w:spacing w:before="1" w:line="259" w:lineRule="auto"/>
        <w:ind w:right="155"/>
        <w:rPr>
          <w:b/>
        </w:rPr>
      </w:pPr>
      <w:r w:rsidRPr="00DF691C">
        <w:rPr>
          <w:bCs/>
        </w:rPr>
        <w:t xml:space="preserve">Amends 81-22-31 to extend the </w:t>
      </w:r>
      <w:proofErr w:type="spellStart"/>
      <w:r w:rsidRPr="00DF691C">
        <w:rPr>
          <w:bCs/>
        </w:rPr>
        <w:t>repealer</w:t>
      </w:r>
      <w:proofErr w:type="spellEnd"/>
      <w:r w:rsidRPr="00DF691C">
        <w:rPr>
          <w:bCs/>
        </w:rPr>
        <w:t xml:space="preserve"> </w:t>
      </w:r>
      <w:r w:rsidR="00991BA6" w:rsidRPr="00DF691C">
        <w:rPr>
          <w:bCs/>
        </w:rPr>
        <w:t>for Sections 81-22-1 through 81-22-28 to July 1, 2026.</w:t>
      </w:r>
    </w:p>
    <w:p w14:paraId="4BAA466B" w14:textId="37D60C7E" w:rsidR="00991BA6" w:rsidRPr="00DF691C" w:rsidRDefault="00991BA6" w:rsidP="008F4ED5">
      <w:pPr>
        <w:pStyle w:val="BodyText"/>
        <w:numPr>
          <w:ilvl w:val="0"/>
          <w:numId w:val="4"/>
        </w:numPr>
        <w:spacing w:before="1" w:line="259" w:lineRule="auto"/>
        <w:ind w:right="155"/>
        <w:rPr>
          <w:b/>
        </w:rPr>
      </w:pPr>
      <w:r w:rsidRPr="00DF691C">
        <w:rPr>
          <w:bCs/>
        </w:rPr>
        <w:t>Effective July 1, 2022.</w:t>
      </w:r>
    </w:p>
    <w:p w14:paraId="472C3CC8" w14:textId="77777777" w:rsidR="002239F6" w:rsidRPr="00DF691C" w:rsidRDefault="002239F6">
      <w:pPr>
        <w:pStyle w:val="BodyText"/>
        <w:spacing w:before="1" w:line="259" w:lineRule="auto"/>
        <w:ind w:left="169" w:right="155" w:hanging="10"/>
        <w:rPr>
          <w:b/>
          <w:color w:val="4471C4"/>
        </w:rPr>
      </w:pPr>
    </w:p>
    <w:p w14:paraId="4C6FD9FE" w14:textId="4B928EAF" w:rsidR="000D1B89" w:rsidRPr="00DF691C" w:rsidRDefault="002239F6">
      <w:pPr>
        <w:pStyle w:val="BodyText"/>
        <w:spacing w:before="1" w:line="259" w:lineRule="auto"/>
        <w:ind w:left="169" w:right="155" w:hanging="10"/>
        <w:rPr>
          <w:b/>
        </w:rPr>
      </w:pPr>
      <w:r w:rsidRPr="00DF691C">
        <w:rPr>
          <w:b/>
          <w:color w:val="4471C4"/>
        </w:rPr>
        <w:t xml:space="preserve">HB </w:t>
      </w:r>
      <w:r w:rsidR="00FF2FDA" w:rsidRPr="00DF691C">
        <w:rPr>
          <w:b/>
          <w:color w:val="4471C4"/>
        </w:rPr>
        <w:t>1360</w:t>
      </w:r>
      <w:r w:rsidR="00AB3FFE" w:rsidRPr="00DF691C">
        <w:rPr>
          <w:b/>
          <w:color w:val="4471C4"/>
        </w:rPr>
        <w:t xml:space="preserve"> </w:t>
      </w:r>
      <w:r w:rsidR="00E62ED5" w:rsidRPr="00DF691C">
        <w:rPr>
          <w:b/>
          <w:color w:val="4471C4"/>
        </w:rPr>
        <w:t>(Bank Mergers</w:t>
      </w:r>
      <w:r w:rsidR="00A909F0" w:rsidRPr="00DF691C">
        <w:rPr>
          <w:b/>
          <w:color w:val="4471C4"/>
        </w:rPr>
        <w:t xml:space="preserve"> and Acquisitions</w:t>
      </w:r>
      <w:r w:rsidR="003E4195" w:rsidRPr="00DF691C">
        <w:rPr>
          <w:b/>
          <w:color w:val="4471C4"/>
        </w:rPr>
        <w:t>; Banking Hours</w:t>
      </w:r>
      <w:r w:rsidR="00A909F0" w:rsidRPr="00DF691C">
        <w:rPr>
          <w:b/>
          <w:color w:val="4471C4"/>
        </w:rPr>
        <w:t>)</w:t>
      </w:r>
    </w:p>
    <w:p w14:paraId="7792B0BB" w14:textId="3B1D59C8" w:rsidR="009D5CEC" w:rsidRPr="00DF691C" w:rsidRDefault="000D1B89" w:rsidP="000D1B89">
      <w:pPr>
        <w:pStyle w:val="BodyText"/>
        <w:numPr>
          <w:ilvl w:val="0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A</w:t>
      </w:r>
      <w:r w:rsidR="0040446F" w:rsidRPr="00DF691C">
        <w:rPr>
          <w:bCs/>
        </w:rPr>
        <w:t xml:space="preserve">mends </w:t>
      </w:r>
      <w:r w:rsidR="00D73FF9" w:rsidRPr="00DF691C">
        <w:rPr>
          <w:bCs/>
        </w:rPr>
        <w:t xml:space="preserve">Section 81-5-85 </w:t>
      </w:r>
      <w:r w:rsidR="009D5CEC" w:rsidRPr="00DF691C">
        <w:rPr>
          <w:bCs/>
        </w:rPr>
        <w:t>as follows:</w:t>
      </w:r>
    </w:p>
    <w:p w14:paraId="6CD52545" w14:textId="77777777" w:rsidR="009D5CEC" w:rsidRPr="00DF691C" w:rsidRDefault="009D5CEC" w:rsidP="000D1B89">
      <w:pPr>
        <w:pStyle w:val="BodyText"/>
        <w:numPr>
          <w:ilvl w:val="0"/>
          <w:numId w:val="2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T</w:t>
      </w:r>
      <w:r w:rsidR="00162470" w:rsidRPr="00DF691C">
        <w:rPr>
          <w:bCs/>
        </w:rPr>
        <w:t xml:space="preserve">o </w:t>
      </w:r>
      <w:r w:rsidR="00F7364E" w:rsidRPr="00DF691C">
        <w:rPr>
          <w:bCs/>
        </w:rPr>
        <w:t xml:space="preserve">provide that </w:t>
      </w:r>
      <w:r w:rsidR="00E67CBB" w:rsidRPr="00DF691C">
        <w:rPr>
          <w:bCs/>
        </w:rPr>
        <w:t xml:space="preserve">when a </w:t>
      </w:r>
      <w:r w:rsidR="00D1402C" w:rsidRPr="00DF691C">
        <w:rPr>
          <w:bCs/>
        </w:rPr>
        <w:t xml:space="preserve">bank chartered by the State of Mississippi </w:t>
      </w:r>
      <w:r w:rsidR="00F7364E" w:rsidRPr="00DF691C">
        <w:rPr>
          <w:bCs/>
        </w:rPr>
        <w:t>enter</w:t>
      </w:r>
      <w:r w:rsidR="00E67CBB" w:rsidRPr="00DF691C">
        <w:rPr>
          <w:bCs/>
        </w:rPr>
        <w:t>s</w:t>
      </w:r>
      <w:r w:rsidR="00F7364E" w:rsidRPr="00DF691C">
        <w:rPr>
          <w:bCs/>
        </w:rPr>
        <w:t xml:space="preserve"> </w:t>
      </w:r>
      <w:r w:rsidR="00E67CBB" w:rsidRPr="00DF691C">
        <w:rPr>
          <w:bCs/>
        </w:rPr>
        <w:t>into</w:t>
      </w:r>
      <w:r w:rsidR="00F7364E" w:rsidRPr="00DF691C">
        <w:rPr>
          <w:bCs/>
        </w:rPr>
        <w:t xml:space="preserve"> a</w:t>
      </w:r>
      <w:r w:rsidR="000E6D49" w:rsidRPr="00DF691C">
        <w:rPr>
          <w:bCs/>
        </w:rPr>
        <w:t xml:space="preserve"> business combination agreement</w:t>
      </w:r>
      <w:r w:rsidR="00F7364E" w:rsidRPr="00DF691C">
        <w:rPr>
          <w:bCs/>
        </w:rPr>
        <w:t xml:space="preserve"> </w:t>
      </w:r>
      <w:r w:rsidR="007067B4" w:rsidRPr="00DF691C">
        <w:rPr>
          <w:bCs/>
        </w:rPr>
        <w:t>with another entity, the surviving entity must be a financial institution insured by the Federal Deposit Insurance Corporation (FDIC)</w:t>
      </w:r>
      <w:r w:rsidR="001C6790" w:rsidRPr="00DF691C">
        <w:rPr>
          <w:bCs/>
        </w:rPr>
        <w:t xml:space="preserve">; </w:t>
      </w:r>
    </w:p>
    <w:p w14:paraId="04D5D111" w14:textId="0725D8E8" w:rsidR="00FF2FDA" w:rsidRPr="00DF691C" w:rsidRDefault="00956F21" w:rsidP="000D1B89">
      <w:pPr>
        <w:pStyle w:val="BodyText"/>
        <w:numPr>
          <w:ilvl w:val="0"/>
          <w:numId w:val="2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To p</w:t>
      </w:r>
      <w:r w:rsidR="00354819" w:rsidRPr="00DF691C">
        <w:rPr>
          <w:bCs/>
        </w:rPr>
        <w:t xml:space="preserve">rovide that when a </w:t>
      </w:r>
      <w:r w:rsidR="00D9101E" w:rsidRPr="00DF691C">
        <w:rPr>
          <w:bCs/>
        </w:rPr>
        <w:t>bank chartered by the State of Mississippi enters into an agreement for the sale of transfer of assets</w:t>
      </w:r>
      <w:r w:rsidR="002E59BF" w:rsidRPr="00DF691C">
        <w:rPr>
          <w:bCs/>
        </w:rPr>
        <w:t>, liabilities, and businesses, the buyer or transfer</w:t>
      </w:r>
      <w:r w:rsidR="00C30123" w:rsidRPr="00DF691C">
        <w:rPr>
          <w:bCs/>
        </w:rPr>
        <w:t xml:space="preserve">ee must be a financial institution insured by the FDIC; </w:t>
      </w:r>
    </w:p>
    <w:p w14:paraId="51FEFD18" w14:textId="44C88299" w:rsidR="00956F21" w:rsidRPr="00DF691C" w:rsidRDefault="00D47652" w:rsidP="000D1B89">
      <w:pPr>
        <w:pStyle w:val="BodyText"/>
        <w:numPr>
          <w:ilvl w:val="0"/>
          <w:numId w:val="2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To authorize</w:t>
      </w:r>
      <w:r w:rsidR="00956F21" w:rsidRPr="00DF691C">
        <w:rPr>
          <w:bCs/>
        </w:rPr>
        <w:t xml:space="preserve"> the Commissioner to issue a cease-and-desist order</w:t>
      </w:r>
      <w:r w:rsidR="00B4571A" w:rsidRPr="00DF691C">
        <w:rPr>
          <w:bCs/>
        </w:rPr>
        <w:t xml:space="preserve"> to any state-chartered bank t</w:t>
      </w:r>
      <w:r w:rsidR="00D44228" w:rsidRPr="00DF691C">
        <w:rPr>
          <w:bCs/>
        </w:rPr>
        <w:t xml:space="preserve">hat engages or proposes to engage in any business combination or sale or transfer of </w:t>
      </w:r>
      <w:r w:rsidR="00FC6B7B" w:rsidRPr="00DF691C">
        <w:rPr>
          <w:bCs/>
        </w:rPr>
        <w:t xml:space="preserve">substantially all assets in violation of </w:t>
      </w:r>
      <w:r w:rsidR="002377EF" w:rsidRPr="00DF691C">
        <w:rPr>
          <w:bCs/>
        </w:rPr>
        <w:t>the provisions of Section 81-5-85;</w:t>
      </w:r>
    </w:p>
    <w:p w14:paraId="43C7FE91" w14:textId="3BE1E279" w:rsidR="002377EF" w:rsidRPr="00DF691C" w:rsidRDefault="00D47652" w:rsidP="000D1B89">
      <w:pPr>
        <w:pStyle w:val="BodyText"/>
        <w:numPr>
          <w:ilvl w:val="0"/>
          <w:numId w:val="2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To provide a right of appeal to the First Judicial District of Hinds County, Mississippi which must be filed within</w:t>
      </w:r>
      <w:r w:rsidR="00C12359" w:rsidRPr="00DF691C">
        <w:rPr>
          <w:bCs/>
        </w:rPr>
        <w:t xml:space="preserve"> thirty (30) days of the Commissioner’s cease-and-desist order.</w:t>
      </w:r>
    </w:p>
    <w:p w14:paraId="63BA029D" w14:textId="2431E463" w:rsidR="00C12359" w:rsidRPr="00DF691C" w:rsidRDefault="00C12359" w:rsidP="00C12359">
      <w:pPr>
        <w:pStyle w:val="BodyText"/>
        <w:numPr>
          <w:ilvl w:val="0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Amends Section 81-5-</w:t>
      </w:r>
      <w:r w:rsidR="00E00B34" w:rsidRPr="00DF691C">
        <w:rPr>
          <w:bCs/>
        </w:rPr>
        <w:t>97 as follows:</w:t>
      </w:r>
    </w:p>
    <w:p w14:paraId="29136C5A" w14:textId="5D80C2F8" w:rsidR="00E00B34" w:rsidRPr="00DF691C" w:rsidRDefault="00F27179" w:rsidP="00E00B34">
      <w:pPr>
        <w:pStyle w:val="BodyText"/>
        <w:numPr>
          <w:ilvl w:val="1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 xml:space="preserve">To add that </w:t>
      </w:r>
      <w:r w:rsidR="007C6B70" w:rsidRPr="00DF691C">
        <w:rPr>
          <w:bCs/>
        </w:rPr>
        <w:t xml:space="preserve">the </w:t>
      </w:r>
      <w:r w:rsidRPr="00DF691C">
        <w:rPr>
          <w:bCs/>
        </w:rPr>
        <w:t>Commissioner may permit the closure of bank branches</w:t>
      </w:r>
      <w:r w:rsidR="00AF6743" w:rsidRPr="00DF691C">
        <w:rPr>
          <w:bCs/>
        </w:rPr>
        <w:t xml:space="preserve"> in addition to banks</w:t>
      </w:r>
      <w:r w:rsidR="00DC542C" w:rsidRPr="00DF691C">
        <w:rPr>
          <w:bCs/>
        </w:rPr>
        <w:t>;</w:t>
      </w:r>
      <w:r w:rsidR="0075057C" w:rsidRPr="00DF691C">
        <w:rPr>
          <w:bCs/>
        </w:rPr>
        <w:t xml:space="preserve"> </w:t>
      </w:r>
    </w:p>
    <w:p w14:paraId="3F4AE2BB" w14:textId="0D0D592F" w:rsidR="007A3D42" w:rsidRPr="00DF691C" w:rsidRDefault="007A3D42" w:rsidP="00E00B34">
      <w:pPr>
        <w:pStyle w:val="BodyText"/>
        <w:numPr>
          <w:ilvl w:val="1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 xml:space="preserve">To </w:t>
      </w:r>
      <w:r w:rsidR="00DC542C" w:rsidRPr="00DF691C">
        <w:rPr>
          <w:bCs/>
        </w:rPr>
        <w:t>change the time for closure from one to two days;</w:t>
      </w:r>
      <w:r w:rsidR="0088236F" w:rsidRPr="00DF691C">
        <w:rPr>
          <w:bCs/>
        </w:rPr>
        <w:t xml:space="preserve"> and</w:t>
      </w:r>
    </w:p>
    <w:p w14:paraId="10121E62" w14:textId="63EDAF60" w:rsidR="00DC542C" w:rsidRPr="00DF691C" w:rsidRDefault="00E9169C" w:rsidP="00E00B34">
      <w:pPr>
        <w:pStyle w:val="BodyText"/>
        <w:numPr>
          <w:ilvl w:val="1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 xml:space="preserve">To authorize the Commissioner to </w:t>
      </w:r>
      <w:r w:rsidR="00794544" w:rsidRPr="00DF691C">
        <w:rPr>
          <w:bCs/>
        </w:rPr>
        <w:t xml:space="preserve">extend closures </w:t>
      </w:r>
      <w:r w:rsidR="003739CA" w:rsidRPr="00DF691C">
        <w:rPr>
          <w:bCs/>
        </w:rPr>
        <w:t xml:space="preserve">for emergency circumstances as </w:t>
      </w:r>
      <w:r w:rsidR="004E6CD0" w:rsidRPr="00DF691C">
        <w:rPr>
          <w:bCs/>
        </w:rPr>
        <w:t>determined by the Commissioner</w:t>
      </w:r>
      <w:r w:rsidR="00991398" w:rsidRPr="00DF691C">
        <w:rPr>
          <w:bCs/>
        </w:rPr>
        <w:t>.</w:t>
      </w:r>
    </w:p>
    <w:p w14:paraId="306DE452" w14:textId="69F59052" w:rsidR="00E62ED5" w:rsidRPr="00DF691C" w:rsidRDefault="00E62ED5" w:rsidP="00E62ED5">
      <w:pPr>
        <w:pStyle w:val="BodyText"/>
        <w:numPr>
          <w:ilvl w:val="0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Effective July 1, 2022.</w:t>
      </w:r>
    </w:p>
    <w:p w14:paraId="316AAFE6" w14:textId="703537A4" w:rsidR="00991398" w:rsidRPr="00DF691C" w:rsidRDefault="00991398" w:rsidP="00524A9D">
      <w:pPr>
        <w:pStyle w:val="BodyText"/>
        <w:spacing w:before="1" w:line="259" w:lineRule="auto"/>
        <w:ind w:left="159" w:right="155"/>
        <w:rPr>
          <w:bCs/>
        </w:rPr>
      </w:pPr>
    </w:p>
    <w:p w14:paraId="47326B9E" w14:textId="699B3ADD" w:rsidR="00FF2FDA" w:rsidRPr="00DF691C" w:rsidRDefault="00524A9D">
      <w:pPr>
        <w:pStyle w:val="BodyText"/>
        <w:spacing w:before="1" w:line="259" w:lineRule="auto"/>
        <w:ind w:left="169" w:right="155" w:hanging="10"/>
        <w:rPr>
          <w:b/>
        </w:rPr>
      </w:pPr>
      <w:r w:rsidRPr="00DF691C">
        <w:rPr>
          <w:b/>
          <w:color w:val="4471C4"/>
        </w:rPr>
        <w:t>SB 2</w:t>
      </w:r>
      <w:r w:rsidR="00416ECB" w:rsidRPr="00DF691C">
        <w:rPr>
          <w:b/>
          <w:color w:val="4471C4"/>
        </w:rPr>
        <w:t>018</w:t>
      </w:r>
      <w:r w:rsidR="00A909F0" w:rsidRPr="00DF691C">
        <w:rPr>
          <w:b/>
          <w:color w:val="4471C4"/>
        </w:rPr>
        <w:t xml:space="preserve"> (Joint Examinations)</w:t>
      </w:r>
    </w:p>
    <w:p w14:paraId="4F415F6B" w14:textId="222E9F0D" w:rsidR="00416ECB" w:rsidRPr="00DF691C" w:rsidRDefault="00416ECB" w:rsidP="00416ECB">
      <w:pPr>
        <w:pStyle w:val="BodyText"/>
        <w:numPr>
          <w:ilvl w:val="0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 xml:space="preserve">Amends Section </w:t>
      </w:r>
      <w:r w:rsidR="006801E5" w:rsidRPr="00DF691C">
        <w:rPr>
          <w:bCs/>
        </w:rPr>
        <w:t xml:space="preserve">81-1-81(2) </w:t>
      </w:r>
      <w:r w:rsidR="006809BA" w:rsidRPr="00DF691C">
        <w:rPr>
          <w:bCs/>
        </w:rPr>
        <w:t xml:space="preserve">to extend the automatic </w:t>
      </w:r>
      <w:proofErr w:type="spellStart"/>
      <w:r w:rsidR="006809BA" w:rsidRPr="00DF691C">
        <w:rPr>
          <w:bCs/>
        </w:rPr>
        <w:t>repealer</w:t>
      </w:r>
      <w:proofErr w:type="spellEnd"/>
      <w:r w:rsidR="006809BA" w:rsidRPr="00DF691C">
        <w:rPr>
          <w:bCs/>
        </w:rPr>
        <w:t xml:space="preserve"> on the authority of DBCF to conduct periodic joint-bank examinations with the Federal Reserve</w:t>
      </w:r>
      <w:r w:rsidR="00972390" w:rsidRPr="00DF691C">
        <w:rPr>
          <w:bCs/>
        </w:rPr>
        <w:t xml:space="preserve">; </w:t>
      </w:r>
      <w:proofErr w:type="spellStart"/>
      <w:r w:rsidR="00972390" w:rsidRPr="00DF691C">
        <w:rPr>
          <w:bCs/>
        </w:rPr>
        <w:t>repealer</w:t>
      </w:r>
      <w:proofErr w:type="spellEnd"/>
      <w:r w:rsidR="00972390" w:rsidRPr="00DF691C">
        <w:rPr>
          <w:bCs/>
        </w:rPr>
        <w:t xml:space="preserve"> extended to July 1, 2026.</w:t>
      </w:r>
    </w:p>
    <w:p w14:paraId="7198873E" w14:textId="55630851" w:rsidR="00435D7B" w:rsidRPr="00DF691C" w:rsidRDefault="00435D7B" w:rsidP="00416ECB">
      <w:pPr>
        <w:pStyle w:val="BodyText"/>
        <w:numPr>
          <w:ilvl w:val="0"/>
          <w:numId w:val="1"/>
        </w:numPr>
        <w:spacing w:before="1" w:line="259" w:lineRule="auto"/>
        <w:ind w:right="155"/>
        <w:rPr>
          <w:bCs/>
        </w:rPr>
      </w:pPr>
      <w:r w:rsidRPr="00DF691C">
        <w:rPr>
          <w:bCs/>
        </w:rPr>
        <w:t>Effective</w:t>
      </w:r>
      <w:r w:rsidR="007E1883" w:rsidRPr="00DF691C">
        <w:rPr>
          <w:bCs/>
        </w:rPr>
        <w:t xml:space="preserve"> July 1, 2022.</w:t>
      </w:r>
    </w:p>
    <w:p w14:paraId="77F0399F" w14:textId="55DF8F2F" w:rsidR="00972390" w:rsidRPr="00991BA6" w:rsidRDefault="00972390" w:rsidP="00972390">
      <w:pPr>
        <w:pStyle w:val="BodyText"/>
        <w:spacing w:before="1" w:line="259" w:lineRule="auto"/>
        <w:ind w:left="879" w:right="155"/>
        <w:rPr>
          <w:bCs/>
          <w:sz w:val="22"/>
          <w:szCs w:val="22"/>
        </w:rPr>
      </w:pPr>
    </w:p>
    <w:p w14:paraId="27F2A1E4" w14:textId="77777777" w:rsidR="00F234FE" w:rsidRPr="00991BA6" w:rsidRDefault="00F234FE">
      <w:pPr>
        <w:pStyle w:val="BodyText"/>
        <w:spacing w:line="290" w:lineRule="exact"/>
        <w:ind w:left="169"/>
        <w:rPr>
          <w:sz w:val="22"/>
          <w:szCs w:val="22"/>
        </w:rPr>
      </w:pPr>
    </w:p>
    <w:sectPr w:rsidR="00F234FE" w:rsidRPr="00991BA6">
      <w:type w:val="continuous"/>
      <w:pgSz w:w="12240" w:h="15840"/>
      <w:pgMar w:top="540" w:right="5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75B5"/>
    <w:multiLevelType w:val="hybridMultilevel"/>
    <w:tmpl w:val="0BE47F5E"/>
    <w:lvl w:ilvl="0" w:tplc="04090003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" w15:restartNumberingAfterBreak="0">
    <w:nsid w:val="2A6236B3"/>
    <w:multiLevelType w:val="hybridMultilevel"/>
    <w:tmpl w:val="3DC86D12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 w15:restartNumberingAfterBreak="0">
    <w:nsid w:val="2EA22DE5"/>
    <w:multiLevelType w:val="hybridMultilevel"/>
    <w:tmpl w:val="B5784122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 w15:restartNumberingAfterBreak="0">
    <w:nsid w:val="5D1A69AC"/>
    <w:multiLevelType w:val="hybridMultilevel"/>
    <w:tmpl w:val="59FA3F72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1752384860">
    <w:abstractNumId w:val="2"/>
  </w:num>
  <w:num w:numId="2" w16cid:durableId="356320506">
    <w:abstractNumId w:val="0"/>
  </w:num>
  <w:num w:numId="3" w16cid:durableId="758865141">
    <w:abstractNumId w:val="3"/>
  </w:num>
  <w:num w:numId="4" w16cid:durableId="111602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E"/>
    <w:rsid w:val="00076A6F"/>
    <w:rsid w:val="000D1B89"/>
    <w:rsid w:val="000E6D49"/>
    <w:rsid w:val="00162470"/>
    <w:rsid w:val="00195804"/>
    <w:rsid w:val="001C6790"/>
    <w:rsid w:val="002239F6"/>
    <w:rsid w:val="002377EF"/>
    <w:rsid w:val="002D4A9C"/>
    <w:rsid w:val="002E59BF"/>
    <w:rsid w:val="00354819"/>
    <w:rsid w:val="003739CA"/>
    <w:rsid w:val="003B2CCB"/>
    <w:rsid w:val="003E4195"/>
    <w:rsid w:val="0040446F"/>
    <w:rsid w:val="00416ECB"/>
    <w:rsid w:val="00435D7B"/>
    <w:rsid w:val="004E6CD0"/>
    <w:rsid w:val="00501EFA"/>
    <w:rsid w:val="00523E70"/>
    <w:rsid w:val="00524A9D"/>
    <w:rsid w:val="005D3C3E"/>
    <w:rsid w:val="005F159B"/>
    <w:rsid w:val="00663AC5"/>
    <w:rsid w:val="006801E5"/>
    <w:rsid w:val="006809BA"/>
    <w:rsid w:val="00684B34"/>
    <w:rsid w:val="00701C63"/>
    <w:rsid w:val="007067B4"/>
    <w:rsid w:val="0071501D"/>
    <w:rsid w:val="0075057C"/>
    <w:rsid w:val="00794544"/>
    <w:rsid w:val="00794818"/>
    <w:rsid w:val="007A3D42"/>
    <w:rsid w:val="007C6B70"/>
    <w:rsid w:val="007D7BBB"/>
    <w:rsid w:val="007E1883"/>
    <w:rsid w:val="00857C01"/>
    <w:rsid w:val="0088236F"/>
    <w:rsid w:val="008A7816"/>
    <w:rsid w:val="008E3D47"/>
    <w:rsid w:val="008F4ED5"/>
    <w:rsid w:val="00917340"/>
    <w:rsid w:val="009256B3"/>
    <w:rsid w:val="00956F21"/>
    <w:rsid w:val="00972390"/>
    <w:rsid w:val="00991398"/>
    <w:rsid w:val="00991BA6"/>
    <w:rsid w:val="009D5CEC"/>
    <w:rsid w:val="00A909F0"/>
    <w:rsid w:val="00AB3FFE"/>
    <w:rsid w:val="00AC35C0"/>
    <w:rsid w:val="00AF6743"/>
    <w:rsid w:val="00B4571A"/>
    <w:rsid w:val="00B6382F"/>
    <w:rsid w:val="00BD643B"/>
    <w:rsid w:val="00C12359"/>
    <w:rsid w:val="00C30123"/>
    <w:rsid w:val="00D1402C"/>
    <w:rsid w:val="00D44228"/>
    <w:rsid w:val="00D47652"/>
    <w:rsid w:val="00D73FF9"/>
    <w:rsid w:val="00D9101E"/>
    <w:rsid w:val="00DC542C"/>
    <w:rsid w:val="00DF691C"/>
    <w:rsid w:val="00E00B34"/>
    <w:rsid w:val="00E307FB"/>
    <w:rsid w:val="00E62ED5"/>
    <w:rsid w:val="00E67CBB"/>
    <w:rsid w:val="00E865A8"/>
    <w:rsid w:val="00E86BB6"/>
    <w:rsid w:val="00E9169C"/>
    <w:rsid w:val="00F234FE"/>
    <w:rsid w:val="00F27179"/>
    <w:rsid w:val="00F7364E"/>
    <w:rsid w:val="00FC6B7B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A0C8"/>
  <w15:docId w15:val="{75F3E3C4-D017-4015-B419-1E593463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1801</Characters>
  <Application>Microsoft Office Word</Application>
  <DocSecurity>4</DocSecurity>
  <Lines>50</Lines>
  <Paragraphs>28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Legislative Update for Website - 2019</dc:title>
  <dc:creator>Melissa</dc:creator>
  <cp:lastModifiedBy>Bridgette Wiggins</cp:lastModifiedBy>
  <cp:revision>2</cp:revision>
  <dcterms:created xsi:type="dcterms:W3CDTF">2022-05-17T19:46:00Z</dcterms:created>
  <dcterms:modified xsi:type="dcterms:W3CDTF">2022-05-17T19:46:00Z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2022-05-02T00:00:00Z</vt:filetime>
  </property>
</Properties>
</file>